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  <w:t>参与海外远程视频公证试点公证机构名单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（共94家）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北京市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2"/>
          <w:sz w:val="32"/>
          <w:szCs w:val="32"/>
          <w:lang w:val="en-US" w:eastAsia="zh-CN" w:bidi="ar-SA"/>
        </w:rPr>
        <w:t>北京市长安公证处、北京市方圆公证处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天津市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天津市北方公证处、天津市和信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公证处、天津市津滨公证处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河北省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石家庄市燕赵公证处、唐山市华忆公证处、邯郸市赵都公证处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山西省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太原市城北公证处、太原市城西公证处、太原市城南公证处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内蒙古自治区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highlight w:val="yellow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包头市方正公证处、呼和浩特市蒙正公证处、呼和浩特市正信公证处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吉林省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长春市国安公证处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辽宁省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辽宁省公证处、大连市公证处、盘锦市兴盛公证处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黑龙江省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哈尔滨市哈尔滨公证处、哈尔滨国信公证处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上海市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上海市东方公证处、上海市徐汇公证处、上海市张江公证处、上海市新虹桥公证处、上海市临港公证处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江苏省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南京市南京公证处、南京市石城公证处、苏州市苏州公证处、南通市南通公证处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浙江省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杭州市国立公证处、杭州市杭州互联网公证处、温州市华东公证处、文成县公证处、义乌市公证处、宁波市天一公证处、青田县公证处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安徽省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合肥市徽元公证处、芜湖市法信公证处、六安市江淮公证处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福建省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福州市闽江公证处、厦门市公证处、漳州市龙海公证处、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厦门市鹭江公证处、福清市玉融公证处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江西省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南昌市赣江公证处、南昌市豫章公证处、南昌市大成公证处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山东省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济南市泉城公证处、济南市齐鲁公证处、青岛市黄海公证处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河南省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郑州市黄河公证处、郑州市大豫公证处、郑州市华夏公证处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湖北省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武汉市尚信公证处、襄阳市襄阳公证处、宜昌市三峡公证处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湖南省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长沙市长沙公证处、长沙市华湘公证处、郴州市福城公证处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广东省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广州市南方公证处、广州市南沙公证处、深圳市前海公证处、珠海市横琴公证处、江门市五邑公证处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广西壮族自治区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南宁市桂南公证处、南宁市北部湾公证处、南宁市东博公证处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海南省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海口市南海公证处、三亚市凤凰公证处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重庆市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重庆市公证处、重庆市国信公证处、重庆市中信公证处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四川省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成都市律政公证处、成都市国力公证处、成都市蜀都公证处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贵州省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贵阳市国信公证处、遵义市法信公证处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云南省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昆明市明信公证处、昆明市国信公证处、昆明市国正公证处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西藏自治区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拉萨市阳光公证处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陕西省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西安市汉唐公证处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甘肃省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兰州市国信公证处、兰州恒信公证处、兰州飞天公证处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青海省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西宁市夏都公证处、西宁市永信公证处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宁夏回族自治区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银川市国信公证处、银川市国安公证处、银川市国立公证处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2"/>
          <w:sz w:val="32"/>
          <w:szCs w:val="32"/>
          <w:lang w:val="en-US" w:eastAsia="zh-CN" w:bidi="ar-SA"/>
        </w:rPr>
        <w:t>新疆维吾尔自治区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乌鲁木齐市法诺公证处、乌鲁木齐市中信公证处、伊宁市白杨公证处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新疆生产建设兵团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乌鲁木齐西域公证处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NzI5ZDg1NzZkNjJhNWJhZjE1MmE4MTFmYmIwOTUifQ=="/>
  </w:docVars>
  <w:rsids>
    <w:rsidRoot w:val="7EB11C45"/>
    <w:rsid w:val="51B3003B"/>
    <w:rsid w:val="7EB11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961</Words>
  <Characters>962</Characters>
  <Lines>0</Lines>
  <Paragraphs>0</Paragraphs>
  <TotalTime>0</TotalTime>
  <ScaleCrop>false</ScaleCrop>
  <LinksUpToDate>false</LinksUpToDate>
  <CharactersWithSpaces>990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2022-05-05T09:13:00Z</dcterms:created>
  <dc:creator>zhujian</dc:creator>
  <cp:lastModifiedBy>zhujian</cp:lastModifiedBy>
  <dcterms:modified xsi:type="dcterms:W3CDTF">2022-05-05T09:52:30Z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756A96B9212F4BEA8AE8B92E6F963EE7</vt:lpwstr>
  </property>
</Properties>
</file>